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6B3FD8">
      <w:pPr>
        <w:framePr w:wrap="none" w:vAnchor="page" w:hAnchor="page" w:x="545" w:y="283"/>
        <w:rPr>
          <w:sz w:val="2"/>
          <w:szCs w:val="2"/>
        </w:rPr>
      </w:pPr>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формування компетентностей;</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компетентностей;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color w:val="auto"/>
          <w:sz w:val="28"/>
          <w:szCs w:val="28"/>
          <w:lang w:val="uk-UA" w:eastAsia="uk-UA" w:bidi="ar-SA"/>
        </w:rPr>
        <w:t xml:space="preserve">уроки-«суди»,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розвитку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(компетентностей).</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89915"/>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47107E" w:rsidRPr="00C167B4" w:rsidRDefault="00C167B4" w:rsidP="0047107E">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0047107E" w:rsidRPr="00C167B4">
        <w:rPr>
          <w:rFonts w:ascii="Times New Roman" w:eastAsia="Calibri" w:hAnsi="Times New Roman" w:cs="Times New Roman"/>
          <w:color w:val="auto"/>
          <w:sz w:val="28"/>
          <w:szCs w:val="28"/>
          <w:lang w:val="uk-UA" w:bidi="ar-SA"/>
        </w:rPr>
        <w:lastRenderedPageBreak/>
        <w:t xml:space="preserve"> </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47107E" w:rsidRPr="00C167B4" w:rsidRDefault="00C167B4" w:rsidP="0047107E">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0047107E" w:rsidRPr="00C167B4">
        <w:rPr>
          <w:rFonts w:ascii="Times New Roman" w:eastAsia="Calibri" w:hAnsi="Times New Roman" w:cs="Times New Roman"/>
          <w:color w:val="auto"/>
          <w:sz w:val="28"/>
          <w:szCs w:val="28"/>
          <w:lang w:val="uk-UA" w:bidi="ar-SA"/>
        </w:rPr>
        <w:lastRenderedPageBreak/>
        <w:t xml:space="preserve"> </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В.Задояний,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Т.Засєкіної;</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Д.Шабанов, О.Козленко;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00" w:rsidRDefault="00192A00">
      <w:r>
        <w:separator/>
      </w:r>
    </w:p>
  </w:endnote>
  <w:endnote w:type="continuationSeparator" w:id="1">
    <w:p w:rsidR="00192A00" w:rsidRDefault="00192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00" w:rsidRDefault="00192A00"/>
  </w:footnote>
  <w:footnote w:type="continuationSeparator" w:id="1">
    <w:p w:rsidR="00192A00" w:rsidRDefault="00192A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B4" w:rsidRDefault="009465FA">
    <w:pPr>
      <w:pStyle w:val="ad"/>
      <w:jc w:val="center"/>
    </w:pPr>
    <w:r>
      <w:fldChar w:fldCharType="begin"/>
    </w:r>
    <w:r w:rsidR="00C167B4">
      <w:instrText>PAGE   \* MERGEFORMAT</w:instrText>
    </w:r>
    <w:r>
      <w:fldChar w:fldCharType="separate"/>
    </w:r>
    <w:r w:rsidR="0047107E">
      <w:rPr>
        <w:noProof/>
      </w:rPr>
      <w:t>3</w:t>
    </w:r>
    <w:r>
      <w:fldChar w:fldCharType="end"/>
    </w:r>
  </w:p>
  <w:p w:rsidR="00C167B4" w:rsidRDefault="00C167B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D3AD2"/>
    <w:rsid w:val="00192A00"/>
    <w:rsid w:val="002E77D3"/>
    <w:rsid w:val="0035276D"/>
    <w:rsid w:val="0047107E"/>
    <w:rsid w:val="006B3FD8"/>
    <w:rsid w:val="009465FA"/>
    <w:rsid w:val="00C167B4"/>
    <w:rsid w:val="00FD3A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5FA"/>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65FA"/>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и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у виносці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у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ви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інтервалів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23996</Words>
  <Characters>13679</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dell</cp:lastModifiedBy>
  <cp:revision>4</cp:revision>
  <dcterms:created xsi:type="dcterms:W3CDTF">2018-04-23T09:19:00Z</dcterms:created>
  <dcterms:modified xsi:type="dcterms:W3CDTF">2020-05-29T09:34:00Z</dcterms:modified>
</cp:coreProperties>
</file>